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20CE" w14:textId="718520F0" w:rsidR="00C172AD" w:rsidRDefault="000E661C" w:rsidP="00C172AD">
      <w:pPr>
        <w:spacing w:after="120"/>
        <w:ind w:left="360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r w:rsidRPr="00807884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Le conseil d’administration actuel</w:t>
      </w:r>
    </w:p>
    <w:p w14:paraId="1B4D9C7D" w14:textId="0B792049" w:rsidR="008F36FC" w:rsidRPr="00807884" w:rsidRDefault="008F36FC" w:rsidP="00C172AD">
      <w:pPr>
        <w:spacing w:after="120"/>
        <w:ind w:left="360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+</w:t>
      </w:r>
    </w:p>
    <w:p w14:paraId="3ACAC1CD" w14:textId="77777777" w:rsidR="00772745" w:rsidRPr="00807884" w:rsidRDefault="00772745" w:rsidP="00C172AD">
      <w:pPr>
        <w:spacing w:after="120"/>
        <w:ind w:left="360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</w:p>
    <w:tbl>
      <w:tblPr>
        <w:tblStyle w:val="Grilledutableau"/>
        <w:tblpPr w:leftFromText="141" w:rightFromText="141" w:horzAnchor="margin" w:tblpY="540"/>
        <w:tblW w:w="108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1846"/>
        <w:gridCol w:w="3692"/>
        <w:gridCol w:w="3253"/>
      </w:tblGrid>
      <w:tr w:rsidR="00772745" w:rsidRPr="00807884" w14:paraId="44D4C0E5" w14:textId="77777777" w:rsidTr="00C01BE9">
        <w:tc>
          <w:tcPr>
            <w:tcW w:w="2057" w:type="dxa"/>
            <w:shd w:val="clear" w:color="auto" w:fill="D9D9D9" w:themeFill="background1" w:themeFillShade="D9"/>
          </w:tcPr>
          <w:p w14:paraId="74745D13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SIÈGES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14:paraId="2F23A1BB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MEMBRE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5005848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SECTEUR ET EXPERTISE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7947715C" w14:textId="77777777" w:rsidR="00772745" w:rsidRPr="00807884" w:rsidRDefault="00772745" w:rsidP="00C01BE9">
            <w:pPr>
              <w:spacing w:after="120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NOM</w:t>
            </w:r>
          </w:p>
        </w:tc>
      </w:tr>
      <w:tr w:rsidR="00772745" w:rsidRPr="00807884" w14:paraId="7C701A99" w14:textId="77777777" w:rsidTr="00C01BE9">
        <w:tc>
          <w:tcPr>
            <w:tcW w:w="2057" w:type="dxa"/>
            <w:hideMark/>
          </w:tcPr>
          <w:p w14:paraId="30F8EF61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1</w:t>
            </w:r>
          </w:p>
          <w:p w14:paraId="59041C13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0DB5FBD1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hideMark/>
          </w:tcPr>
          <w:p w14:paraId="198A3E85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Loisir et culture</w:t>
            </w:r>
          </w:p>
          <w:p w14:paraId="678D33A1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Loisir culturel, loisir, bénévolat, concertation milieu</w:t>
            </w:r>
          </w:p>
        </w:tc>
        <w:tc>
          <w:tcPr>
            <w:tcW w:w="3253" w:type="dxa"/>
          </w:tcPr>
          <w:p w14:paraId="2F0293FC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5665692D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Jean-Louis Bélisle</w:t>
            </w:r>
          </w:p>
          <w:p w14:paraId="10F404FD" w14:textId="4885E853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Vice-président</w:t>
            </w:r>
          </w:p>
        </w:tc>
      </w:tr>
      <w:tr w:rsidR="00772745" w:rsidRPr="00807884" w14:paraId="3FB9A7F5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73B964BA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2</w:t>
            </w:r>
          </w:p>
          <w:p w14:paraId="2A5A2B3C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6039536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124219AC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Sport</w:t>
            </w:r>
          </w:p>
          <w:p w14:paraId="0CDFA13F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Activités sportives, plein air et activité physique, santé globale, JQ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7A39A57B" w14:textId="77777777" w:rsidR="00772745" w:rsidRPr="008D3AFE" w:rsidRDefault="00772745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8533E14" w14:textId="77777777" w:rsidR="00772745" w:rsidRPr="008F36FC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F36FC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Michaël de Grandpré</w:t>
            </w:r>
          </w:p>
          <w:p w14:paraId="108E5759" w14:textId="0EA36800" w:rsidR="00C72952" w:rsidRPr="008D3AFE" w:rsidRDefault="00C72952" w:rsidP="00C01BE9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F36FC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Administrateur</w:t>
            </w:r>
          </w:p>
        </w:tc>
      </w:tr>
      <w:tr w:rsidR="00772745" w:rsidRPr="00807884" w14:paraId="010EC645" w14:textId="77777777" w:rsidTr="00C01BE9">
        <w:tc>
          <w:tcPr>
            <w:tcW w:w="2057" w:type="dxa"/>
            <w:hideMark/>
          </w:tcPr>
          <w:p w14:paraId="506D2570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3</w:t>
            </w:r>
          </w:p>
          <w:p w14:paraId="064225D0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32B15429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hideMark/>
          </w:tcPr>
          <w:p w14:paraId="57F67A31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Municipale</w:t>
            </w: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25BA86B7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MRC, municipal, développement, infrastructure, aménagement</w:t>
            </w:r>
          </w:p>
        </w:tc>
        <w:tc>
          <w:tcPr>
            <w:tcW w:w="3253" w:type="dxa"/>
          </w:tcPr>
          <w:p w14:paraId="7FCED6F2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0AEA0E6D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Guy Dupuis</w:t>
            </w:r>
          </w:p>
          <w:p w14:paraId="3D18F228" w14:textId="6D794C44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Administrateur</w:t>
            </w:r>
          </w:p>
        </w:tc>
      </w:tr>
      <w:tr w:rsidR="00772745" w:rsidRPr="00807884" w14:paraId="2F7723E9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2ED90176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4</w:t>
            </w:r>
          </w:p>
          <w:p w14:paraId="5619CEC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371E9580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Organisation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2B5A328F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Éducation </w:t>
            </w:r>
          </w:p>
          <w:p w14:paraId="3E52505F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Scolaire, centre de service, pédagogie, jeunesse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76E21DBB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5B9B8B3D" w14:textId="77777777" w:rsidR="00772745" w:rsidRPr="008F36FC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F36FC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Marjolaine Arsenault</w:t>
            </w:r>
          </w:p>
          <w:p w14:paraId="79398A2F" w14:textId="48A2F222" w:rsidR="00772745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F36FC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Présidente</w:t>
            </w:r>
          </w:p>
        </w:tc>
      </w:tr>
      <w:tr w:rsidR="00772745" w:rsidRPr="00807884" w14:paraId="5DA44B31" w14:textId="77777777" w:rsidTr="00C01BE9">
        <w:tc>
          <w:tcPr>
            <w:tcW w:w="2057" w:type="dxa"/>
            <w:hideMark/>
          </w:tcPr>
          <w:p w14:paraId="08A97EC9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5</w:t>
            </w:r>
          </w:p>
          <w:p w14:paraId="6971900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44AF406C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hideMark/>
          </w:tcPr>
          <w:p w14:paraId="12474DF2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spécialisée </w:t>
            </w:r>
          </w:p>
          <w:p w14:paraId="5486072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Clientèles, familles, jeunes, personnes handicapées, gens âgés</w:t>
            </w:r>
          </w:p>
        </w:tc>
        <w:tc>
          <w:tcPr>
            <w:tcW w:w="3253" w:type="dxa"/>
          </w:tcPr>
          <w:p w14:paraId="34CDD6B0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7C363FF2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Annie Belcourt</w:t>
            </w:r>
          </w:p>
          <w:p w14:paraId="57B1DE26" w14:textId="4554D61F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Administratrice</w:t>
            </w:r>
          </w:p>
        </w:tc>
      </w:tr>
      <w:tr w:rsidR="00772745" w:rsidRPr="00807884" w14:paraId="71C14EA0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02E58C84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6</w:t>
            </w:r>
          </w:p>
          <w:p w14:paraId="3B4C6524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7CD0F0F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76B9313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professionnelle </w:t>
            </w:r>
          </w:p>
          <w:p w14:paraId="39A2AE3A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Comptabilité, droit, gouvernance, éthique, intégrité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3102C269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446CE54A" w14:textId="5257131D" w:rsidR="00772745" w:rsidRPr="008F36FC" w:rsidRDefault="008F36FC" w:rsidP="00C01BE9">
            <w:pPr>
              <w:spacing w:after="12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8F36F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POSTE VACANT</w:t>
            </w:r>
          </w:p>
          <w:p w14:paraId="51E8F9BB" w14:textId="580B9E36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D3AFE">
              <w:rPr>
                <w:rFonts w:ascii="Arial" w:hAnsi="Arial" w:cs="Arial"/>
                <w:color w:val="FF0000"/>
                <w:sz w:val="22"/>
                <w:szCs w:val="22"/>
              </w:rPr>
              <w:t>Administrateur</w:t>
            </w:r>
          </w:p>
        </w:tc>
      </w:tr>
      <w:tr w:rsidR="00772745" w:rsidRPr="00807884" w14:paraId="3D3C8987" w14:textId="77777777" w:rsidTr="00C01BE9">
        <w:tc>
          <w:tcPr>
            <w:tcW w:w="2057" w:type="dxa"/>
            <w:hideMark/>
          </w:tcPr>
          <w:p w14:paraId="1FF24C35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7</w:t>
            </w:r>
          </w:p>
          <w:p w14:paraId="2D625F4D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impaire</w:t>
            </w:r>
          </w:p>
        </w:tc>
        <w:tc>
          <w:tcPr>
            <w:tcW w:w="1846" w:type="dxa"/>
            <w:hideMark/>
          </w:tcPr>
          <w:p w14:paraId="31EEE2D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hideMark/>
          </w:tcPr>
          <w:p w14:paraId="34813217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gestion </w:t>
            </w:r>
          </w:p>
          <w:p w14:paraId="5B6B69F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Stratégie, affaires, finances, technologie, événementielle</w:t>
            </w:r>
          </w:p>
        </w:tc>
        <w:tc>
          <w:tcPr>
            <w:tcW w:w="3253" w:type="dxa"/>
          </w:tcPr>
          <w:p w14:paraId="42CDA2EB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2764113A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Pascal Bédard</w:t>
            </w:r>
          </w:p>
          <w:p w14:paraId="65EFD7F4" w14:textId="17BBD065" w:rsidR="00C72952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Trésorier</w:t>
            </w:r>
          </w:p>
        </w:tc>
      </w:tr>
      <w:tr w:rsidR="00772745" w:rsidRPr="00807884" w14:paraId="4FD2AB68" w14:textId="77777777" w:rsidTr="00C01BE9">
        <w:tc>
          <w:tcPr>
            <w:tcW w:w="2057" w:type="dxa"/>
            <w:shd w:val="clear" w:color="auto" w:fill="D9E2F3" w:themeFill="accent1" w:themeFillTint="33"/>
            <w:hideMark/>
          </w:tcPr>
          <w:p w14:paraId="5674CA5F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Siège 8</w:t>
            </w:r>
          </w:p>
          <w:p w14:paraId="59847F8B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Élection paire</w:t>
            </w:r>
          </w:p>
        </w:tc>
        <w:tc>
          <w:tcPr>
            <w:tcW w:w="1846" w:type="dxa"/>
            <w:shd w:val="clear" w:color="auto" w:fill="D9E2F3" w:themeFill="accent1" w:themeFillTint="33"/>
            <w:hideMark/>
          </w:tcPr>
          <w:p w14:paraId="4B1DD9F4" w14:textId="77777777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Individu-expert</w:t>
            </w:r>
          </w:p>
        </w:tc>
        <w:tc>
          <w:tcPr>
            <w:tcW w:w="3692" w:type="dxa"/>
            <w:shd w:val="clear" w:color="auto" w:fill="D9E2F3" w:themeFill="accent1" w:themeFillTint="33"/>
            <w:hideMark/>
          </w:tcPr>
          <w:p w14:paraId="533F330A" w14:textId="575D2F8E" w:rsidR="00772745" w:rsidRPr="00807884" w:rsidRDefault="00772745" w:rsidP="00C01BE9">
            <w:pPr>
              <w:spacing w:after="120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Expertise </w:t>
            </w:r>
            <w:r w:rsidRPr="008078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communication </w:t>
            </w:r>
            <w:r w:rsidR="007E2D2F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et </w:t>
            </w:r>
            <w:r w:rsidR="000A272A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  <w:t>ressources humaines</w:t>
            </w:r>
          </w:p>
          <w:p w14:paraId="3A95F8D3" w14:textId="490C51A4" w:rsidR="00772745" w:rsidRPr="00807884" w:rsidRDefault="004D2468" w:rsidP="00C01BE9">
            <w:pPr>
              <w:spacing w:after="120"/>
              <w:jc w:val="both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R</w:t>
            </w:r>
            <w:r w:rsidR="00772745"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elation publique</w:t>
            </w:r>
            <w:r w:rsidR="000A272A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,</w:t>
            </w:r>
            <w:r w:rsidR="00D7563D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  <w:r w:rsidR="00CC197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réseautage,</w:t>
            </w:r>
            <w:r w:rsidR="00CC1974"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  <w:r w:rsidR="00CC197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marketing</w:t>
            </w:r>
            <w:r w:rsidR="00D7563D"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bénévolat</w:t>
            </w:r>
            <w:r w:rsidRPr="00807884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3253" w:type="dxa"/>
            <w:shd w:val="clear" w:color="auto" w:fill="D9E2F3" w:themeFill="accent1" w:themeFillTint="33"/>
          </w:tcPr>
          <w:p w14:paraId="2677899A" w14:textId="77777777" w:rsidR="00772745" w:rsidRPr="00807884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</w:p>
          <w:p w14:paraId="52E68F58" w14:textId="77777777" w:rsidR="00772745" w:rsidRPr="008F36FC" w:rsidRDefault="00772745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F36FC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Ginette Richard</w:t>
            </w:r>
          </w:p>
          <w:p w14:paraId="7215F7DC" w14:textId="5B70BFAC" w:rsidR="00772745" w:rsidRPr="00807884" w:rsidRDefault="00C72952" w:rsidP="00C01BE9">
            <w:pPr>
              <w:spacing w:after="120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8F36FC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Secrétaire</w:t>
            </w:r>
          </w:p>
        </w:tc>
      </w:tr>
    </w:tbl>
    <w:p w14:paraId="4CE0F4F4" w14:textId="6DAFE7E2" w:rsidR="00772745" w:rsidRPr="00807884" w:rsidRDefault="00772745" w:rsidP="00BA24C7">
      <w:pPr>
        <w:autoSpaceDE w:val="0"/>
        <w:autoSpaceDN w:val="0"/>
        <w:adjustRightInd w:val="0"/>
        <w:ind w:firstLine="360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Dirigeants-dirigeantes : 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4</w:t>
      </w:r>
      <w:r w:rsidR="00BA24C7">
        <w:rPr>
          <w:rFonts w:ascii="Arial" w:hAnsi="Arial" w:cs="Arial"/>
          <w:color w:val="2F5496" w:themeColor="accent1" w:themeShade="BF"/>
          <w:sz w:val="22"/>
          <w:szCs w:val="22"/>
        </w:rPr>
        <w:t xml:space="preserve"> administrateurs </w:t>
      </w:r>
      <w:r w:rsidR="00D97790">
        <w:rPr>
          <w:rFonts w:ascii="Arial" w:hAnsi="Arial" w:cs="Arial"/>
          <w:color w:val="2F5496" w:themeColor="accent1" w:themeShade="BF"/>
          <w:sz w:val="22"/>
          <w:szCs w:val="22"/>
        </w:rPr>
        <w:t>(p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résidence, vice-présidence, secrétaire, trésorerie</w:t>
      </w:r>
      <w:r w:rsidR="00D97790">
        <w:rPr>
          <w:rFonts w:ascii="Arial" w:hAnsi="Arial" w:cs="Arial"/>
          <w:color w:val="2F5496" w:themeColor="accent1" w:themeShade="BF"/>
          <w:sz w:val="22"/>
          <w:szCs w:val="22"/>
        </w:rPr>
        <w:t>)</w:t>
      </w:r>
    </w:p>
    <w:p w14:paraId="79EB871C" w14:textId="77777777" w:rsidR="00EA0491" w:rsidRPr="00807884" w:rsidRDefault="00EA0491" w:rsidP="00772745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143C3512" w14:textId="77777777" w:rsidR="0084385E" w:rsidRDefault="0084385E" w:rsidP="003C7D6F">
      <w:pPr>
        <w:autoSpaceDE w:val="0"/>
        <w:autoSpaceDN w:val="0"/>
        <w:adjustRightInd w:val="0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519A7370" w14:textId="3A095CDC" w:rsidR="00772745" w:rsidRPr="00807884" w:rsidRDefault="00772745" w:rsidP="003C7D6F">
      <w:p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Mandats</w:t>
      </w:r>
      <w:r w:rsidR="00EA0491" w:rsidRPr="00807884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…</w:t>
      </w:r>
      <w:r w:rsidR="00EA0491" w:rsidRPr="00807884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2 ans renouvelables, max. 4 mandats consécutifs</w:t>
      </w:r>
    </w:p>
    <w:p w14:paraId="0277C038" w14:textId="77777777" w:rsidR="00C172AD" w:rsidRPr="00807884" w:rsidRDefault="00C172AD" w:rsidP="007727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A1DFE2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Aucun siège réservé pour les membres collaborateurs</w:t>
      </w:r>
    </w:p>
    <w:p w14:paraId="4C16B6F8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Minimum 1 personne âgée de 35 ans et moins</w:t>
      </w:r>
    </w:p>
    <w:p w14:paraId="1E762814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Minimum 1 personne issue d’au moins trois MRC sur cinq</w:t>
      </w:r>
    </w:p>
    <w:p w14:paraId="35EC54E4" w14:textId="61079C16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Maximum 3 personnes issues d’un même</w:t>
      </w:r>
      <w:r w:rsidR="00C656A9" w:rsidRPr="00807884">
        <w:rPr>
          <w:rFonts w:ascii="Arial" w:hAnsi="Arial" w:cs="Arial"/>
          <w:color w:val="2F5496" w:themeColor="accent1" w:themeShade="BF"/>
        </w:rPr>
        <w:t xml:space="preserve"> territoire de</w:t>
      </w:r>
      <w:r w:rsidRPr="00807884">
        <w:rPr>
          <w:rFonts w:ascii="Arial" w:hAnsi="Arial" w:cs="Arial"/>
          <w:color w:val="2F5496" w:themeColor="accent1" w:themeShade="BF"/>
        </w:rPr>
        <w:t xml:space="preserve"> MRC</w:t>
      </w:r>
    </w:p>
    <w:p w14:paraId="46818F8F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Équilibre respectant la représentativité régionale</w:t>
      </w:r>
    </w:p>
    <w:p w14:paraId="736D4DE4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Équilibre sociodémographique et homme-femme</w:t>
      </w:r>
    </w:p>
    <w:p w14:paraId="43522814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Pas plus d’un délégué d’une même organisation ou municipalité</w:t>
      </w:r>
    </w:p>
    <w:p w14:paraId="41D851AB" w14:textId="77777777" w:rsidR="00C172AD" w:rsidRPr="00807884" w:rsidRDefault="00C172AD" w:rsidP="00C65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Sans conflit d’intérêts en tant que fournisseurs de biens à LSCQ</w:t>
      </w:r>
    </w:p>
    <w:p w14:paraId="22C1F520" w14:textId="77777777" w:rsidR="00C172AD" w:rsidRPr="00807884" w:rsidRDefault="00C172AD" w:rsidP="00EC4F5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Intérêts marqués pour la mission</w:t>
      </w:r>
    </w:p>
    <w:p w14:paraId="05E5849A" w14:textId="77777777" w:rsidR="00C172AD" w:rsidRPr="00807884" w:rsidRDefault="00C172AD" w:rsidP="00EC4F5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lastRenderedPageBreak/>
        <w:t>Disponible et résidant ou œuvrant ou ayant un lieu d’affaires sur le territoire</w:t>
      </w:r>
    </w:p>
    <w:p w14:paraId="548024BA" w14:textId="2A181EE8" w:rsidR="00C172AD" w:rsidRPr="00974259" w:rsidRDefault="00C172AD" w:rsidP="009742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Être âgé de 18 ans et plus</w:t>
      </w:r>
    </w:p>
    <w:p w14:paraId="72A33E69" w14:textId="3907B485" w:rsidR="00CD081B" w:rsidRPr="00807884" w:rsidRDefault="00811CF1" w:rsidP="003C7D6F">
      <w:pPr>
        <w:spacing w:after="120"/>
        <w:ind w:left="360"/>
        <w:jc w:val="right"/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</w:pPr>
      <w:r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  <w:t>*</w:t>
      </w:r>
      <w:r w:rsidR="00C172AD"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  <w:t>Pour les 4 dirigeants, possibilité d’un 5</w:t>
      </w:r>
      <w:r w:rsidR="00C172AD"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  <w:vertAlign w:val="superscript"/>
        </w:rPr>
        <w:t>e</w:t>
      </w:r>
      <w:r w:rsidR="00C172AD" w:rsidRPr="00807884">
        <w:rPr>
          <w:rFonts w:ascii="Arial" w:hAnsi="Arial" w:cs="Arial"/>
          <w:i/>
          <w:iCs/>
          <w:color w:val="2F5496" w:themeColor="accent1" w:themeShade="BF"/>
          <w:sz w:val="22"/>
          <w:szCs w:val="22"/>
          <w:u w:val="single"/>
        </w:rPr>
        <w:t xml:space="preserve"> mandat de transition</w:t>
      </w:r>
    </w:p>
    <w:p w14:paraId="73386EF8" w14:textId="75BE520D" w:rsidR="00CD081B" w:rsidRPr="00807884" w:rsidRDefault="00CD081B" w:rsidP="00856168">
      <w:pPr>
        <w:jc w:val="both"/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Éligibilité</w:t>
      </w:r>
      <w:r w:rsidR="007F4AFB" w:rsidRPr="00807884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…</w:t>
      </w:r>
    </w:p>
    <w:p w14:paraId="57061668" w14:textId="77777777" w:rsidR="00CD081B" w:rsidRPr="00807884" w:rsidRDefault="00CD081B" w:rsidP="00CD081B">
      <w:pPr>
        <w:ind w:firstLine="851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1F96666E" w14:textId="77777777" w:rsidR="00CD081B" w:rsidRPr="00807884" w:rsidRDefault="00CD081B" w:rsidP="00CD081B">
      <w:pPr>
        <w:jc w:val="both"/>
        <w:rPr>
          <w:rFonts w:ascii="Arial" w:hAnsi="Arial" w:cs="Arial"/>
          <w:bCs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Cs/>
          <w:color w:val="2F5496" w:themeColor="accent1" w:themeShade="BF"/>
          <w:sz w:val="22"/>
          <w:szCs w:val="22"/>
        </w:rPr>
        <w:t>Les conditions essentielles pour être admissibles à devenir administrateur de la Corporation sont :</w:t>
      </w:r>
    </w:p>
    <w:p w14:paraId="67E44AD9" w14:textId="77777777" w:rsidR="00CD081B" w:rsidRPr="00807884" w:rsidRDefault="00CD081B" w:rsidP="00CD081B">
      <w:pPr>
        <w:ind w:left="851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3C184C36" w14:textId="77777777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Être une personne physique majeure;</w:t>
      </w:r>
    </w:p>
    <w:p w14:paraId="0B30843E" w14:textId="77777777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Avoir une bonne connaissance du milieu;</w:t>
      </w:r>
    </w:p>
    <w:p w14:paraId="5F4E0315" w14:textId="77777777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Détenir une expertise utile et qui correspond au profil de compétence développé par le conseil d’administration;</w:t>
      </w:r>
    </w:p>
    <w:p w14:paraId="4ED91E2F" w14:textId="63969CDE" w:rsidR="00CD081B" w:rsidRPr="00807884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Pour devenir administrateur, il est nécessaire d’être membre de la Corporation, ou d’être le délégué d’une personne morale membre de la Corporation; </w:t>
      </w:r>
    </w:p>
    <w:p w14:paraId="7A67DDF1" w14:textId="2695B7E1" w:rsidR="00CD081B" w:rsidRPr="00367DF1" w:rsidRDefault="00CD081B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Avoir rempli le formulaire/candid</w:t>
      </w:r>
      <w:r w:rsidRPr="001838BE">
        <w:rPr>
          <w:rFonts w:ascii="Arial" w:hAnsi="Arial" w:cs="Arial"/>
          <w:color w:val="2F5496" w:themeColor="accent1" w:themeShade="BF"/>
          <w:sz w:val="22"/>
          <w:szCs w:val="22"/>
        </w:rPr>
        <w:t>at</w:t>
      </w: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>ure.</w:t>
      </w:r>
      <w:r w:rsidR="00856168"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</w:p>
    <w:p w14:paraId="71CE846E" w14:textId="5A426D76" w:rsidR="00367DF1" w:rsidRPr="001838BE" w:rsidRDefault="00367DF1" w:rsidP="00CD081B">
      <w:pPr>
        <w:numPr>
          <w:ilvl w:val="0"/>
          <w:numId w:val="4"/>
        </w:numPr>
        <w:ind w:left="589"/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1838BE">
        <w:rPr>
          <w:rFonts w:ascii="Arial" w:hAnsi="Arial" w:cs="Arial"/>
          <w:color w:val="2F5496" w:themeColor="accent1" w:themeShade="BF"/>
          <w:sz w:val="22"/>
          <w:szCs w:val="22"/>
        </w:rPr>
        <w:t>Avoir rempli sa déclaration annuelle d’intérêt</w:t>
      </w:r>
      <w:r w:rsidR="001838BE" w:rsidRPr="001838BE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</w:p>
    <w:p w14:paraId="027255ED" w14:textId="77777777" w:rsidR="00CD081B" w:rsidRPr="00807884" w:rsidRDefault="00CD081B" w:rsidP="00EA34C4">
      <w:pPr>
        <w:spacing w:after="120"/>
        <w:ind w:left="360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</w:p>
    <w:p w14:paraId="61778311" w14:textId="2415848B" w:rsidR="00470A5A" w:rsidRPr="00807884" w:rsidRDefault="00DE5577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Pouvoirs généraux…</w:t>
      </w:r>
    </w:p>
    <w:p w14:paraId="5FD4D799" w14:textId="77777777" w:rsidR="00051331" w:rsidRPr="00807884" w:rsidRDefault="00051331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7291D029" w14:textId="01456F8B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Les administrateurs de la Corporation administrent les affaires de la Corporation et passent, en son nom, tous les contrats que la Corporation peut valablement passer; d’une façon générale, ils exercent tous les autres pouvoirs et posent tous les autres actes que la Corporation est autorisée à exercer et à poser en vertu de ses lettres patentes ou à quelque autre titre que ce soit. </w:t>
      </w:r>
    </w:p>
    <w:p w14:paraId="5EEBAEBA" w14:textId="77777777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129AFCE6" w14:textId="77777777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807884">
        <w:rPr>
          <w:rFonts w:ascii="Arial" w:hAnsi="Arial" w:cs="Arial"/>
          <w:color w:val="2F5496" w:themeColor="accent1" w:themeShade="BF"/>
          <w:sz w:val="22"/>
          <w:szCs w:val="22"/>
        </w:rPr>
        <w:t xml:space="preserve">Le conseil d’administration assume notamment les tâches suivantes : </w:t>
      </w:r>
    </w:p>
    <w:p w14:paraId="5EE4C989" w14:textId="77777777" w:rsidR="00470A5A" w:rsidRPr="00807884" w:rsidRDefault="00470A5A" w:rsidP="00470A5A">
      <w:p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jc w:val="both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0A147FA3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Élaborer, proposer et interpréter la mission de la Corporation, il en interprète les règlements généraux; </w:t>
      </w:r>
    </w:p>
    <w:p w14:paraId="4F715526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Réviser au moins aux deux (2) ans, les règlements généraux et les lettres patentes et les mettre à jour s’il y a lieu; </w:t>
      </w:r>
    </w:p>
    <w:p w14:paraId="49DC70D7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Élaborer et proposer les grandes orientations de la Corporation; il approuve notamment le plan d’action annuel développé par la directrice générale, qui contient les indicateurs quantifiant les cibles à atteindre, les programmes d’activités et l’affectation des ressources et des services;</w:t>
      </w:r>
    </w:p>
    <w:p w14:paraId="28E1C05F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Effectuer au moins deux (2) fois par année un suivi de l’avancement du plan stratégique; </w:t>
      </w:r>
    </w:p>
    <w:p w14:paraId="779DD54C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Adopter les prévisions budgétaires de la Corporation et les états financiers préparés par l’auditeur indépendant;  </w:t>
      </w:r>
    </w:p>
    <w:p w14:paraId="7D0CCE2D" w14:textId="77777777" w:rsidR="00470A5A" w:rsidRPr="00807884" w:rsidRDefault="00470A5A" w:rsidP="00470A5A">
      <w:pPr>
        <w:pStyle w:val="Paragraphedeliste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Adopter un budget d’exploitation annuel au plus tard trois (3) mois après le début de l’année financière;  </w:t>
      </w:r>
    </w:p>
    <w:p w14:paraId="6F4E8111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Dresser, annuellement, le profil des compétences complémentaires dont il a besoin pour atteindre ses objectifs et réaliser son plan pluriannuel de développement; </w:t>
      </w:r>
    </w:p>
    <w:p w14:paraId="31BA5898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Effectuer, périodiquement, une évaluation de son fonctionnement et de la contribution des administrateurs; </w:t>
      </w:r>
    </w:p>
    <w:p w14:paraId="54E59CF4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S’assurer de l’existence d’un processus d’accueil des nouveaux administrateurs; </w:t>
      </w:r>
    </w:p>
    <w:p w14:paraId="07C31F66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 xml:space="preserve">S’assurer que les administrateurs ont accès à de la formation en matière de gouvernance; </w:t>
      </w:r>
    </w:p>
    <w:p w14:paraId="63984EF7" w14:textId="77777777" w:rsidR="00470A5A" w:rsidRPr="00807884" w:rsidRDefault="00470A5A" w:rsidP="00470A5A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Voir à l’engagement de la direction générale, déterminer ses conditions de travail et l’évaluer;</w:t>
      </w:r>
    </w:p>
    <w:p w14:paraId="33246E36" w14:textId="54B2551B" w:rsidR="00DA36DA" w:rsidRPr="00C30B7F" w:rsidRDefault="00470A5A" w:rsidP="00C30B7F">
      <w:pPr>
        <w:pStyle w:val="Paragraphedeliste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450"/>
          <w:tab w:val="left" w:pos="630"/>
          <w:tab w:val="left" w:pos="810"/>
          <w:tab w:val="left" w:pos="2880"/>
          <w:tab w:val="left" w:pos="4320"/>
        </w:tabs>
        <w:spacing w:after="60"/>
        <w:ind w:left="714" w:hanging="357"/>
        <w:jc w:val="both"/>
        <w:rPr>
          <w:rFonts w:ascii="Arial" w:hAnsi="Arial" w:cs="Arial"/>
          <w:color w:val="2F5496" w:themeColor="accent1" w:themeShade="BF"/>
        </w:rPr>
      </w:pPr>
      <w:r w:rsidRPr="00807884">
        <w:rPr>
          <w:rFonts w:ascii="Arial" w:hAnsi="Arial" w:cs="Arial"/>
          <w:color w:val="2F5496" w:themeColor="accent1" w:themeShade="BF"/>
        </w:rPr>
        <w:t>Adopter, examiner périodiquement et faire un suivi de l’application de ses politiques.</w:t>
      </w:r>
    </w:p>
    <w:sectPr w:rsidR="00DA36DA" w:rsidRPr="00C30B7F" w:rsidSect="00C92A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611"/>
    <w:multiLevelType w:val="hybridMultilevel"/>
    <w:tmpl w:val="7E2CE5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5AE3"/>
    <w:multiLevelType w:val="hybridMultilevel"/>
    <w:tmpl w:val="3BFA7346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F385E"/>
    <w:multiLevelType w:val="hybridMultilevel"/>
    <w:tmpl w:val="427AD8D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B322A7F"/>
    <w:multiLevelType w:val="hybridMultilevel"/>
    <w:tmpl w:val="BCDCE560"/>
    <w:lvl w:ilvl="0" w:tplc="5518E3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C00F3"/>
    <w:multiLevelType w:val="hybridMultilevel"/>
    <w:tmpl w:val="1F684E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70953">
    <w:abstractNumId w:val="0"/>
  </w:num>
  <w:num w:numId="2" w16cid:durableId="2073843887">
    <w:abstractNumId w:val="4"/>
  </w:num>
  <w:num w:numId="3" w16cid:durableId="563490656">
    <w:abstractNumId w:val="1"/>
  </w:num>
  <w:num w:numId="4" w16cid:durableId="185023415">
    <w:abstractNumId w:val="2"/>
  </w:num>
  <w:num w:numId="5" w16cid:durableId="681205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C5"/>
    <w:rsid w:val="00051331"/>
    <w:rsid w:val="000A272A"/>
    <w:rsid w:val="000E661C"/>
    <w:rsid w:val="001838BE"/>
    <w:rsid w:val="001F53CC"/>
    <w:rsid w:val="00262406"/>
    <w:rsid w:val="00295D72"/>
    <w:rsid w:val="002E3701"/>
    <w:rsid w:val="00367DF1"/>
    <w:rsid w:val="003A1A97"/>
    <w:rsid w:val="003C7D6F"/>
    <w:rsid w:val="0044640A"/>
    <w:rsid w:val="00470A5A"/>
    <w:rsid w:val="004902E8"/>
    <w:rsid w:val="004D2468"/>
    <w:rsid w:val="005968CE"/>
    <w:rsid w:val="00772745"/>
    <w:rsid w:val="0079635E"/>
    <w:rsid w:val="007E14C9"/>
    <w:rsid w:val="007E2D2F"/>
    <w:rsid w:val="007F4AFB"/>
    <w:rsid w:val="00807884"/>
    <w:rsid w:val="00811CF1"/>
    <w:rsid w:val="00824E9B"/>
    <w:rsid w:val="0084385E"/>
    <w:rsid w:val="00856168"/>
    <w:rsid w:val="008D3AFE"/>
    <w:rsid w:val="008F36FC"/>
    <w:rsid w:val="00951CFC"/>
    <w:rsid w:val="00974259"/>
    <w:rsid w:val="00981C98"/>
    <w:rsid w:val="00BA24C7"/>
    <w:rsid w:val="00C172AD"/>
    <w:rsid w:val="00C30B7F"/>
    <w:rsid w:val="00C30C6C"/>
    <w:rsid w:val="00C656A9"/>
    <w:rsid w:val="00C72952"/>
    <w:rsid w:val="00C92AC5"/>
    <w:rsid w:val="00CC1974"/>
    <w:rsid w:val="00CC6D81"/>
    <w:rsid w:val="00CD081B"/>
    <w:rsid w:val="00D7563D"/>
    <w:rsid w:val="00D97790"/>
    <w:rsid w:val="00DA2FBB"/>
    <w:rsid w:val="00DA36DA"/>
    <w:rsid w:val="00DE5577"/>
    <w:rsid w:val="00DE6B4A"/>
    <w:rsid w:val="00DF16E2"/>
    <w:rsid w:val="00E22DAA"/>
    <w:rsid w:val="00E67450"/>
    <w:rsid w:val="00EA0491"/>
    <w:rsid w:val="00EA34C4"/>
    <w:rsid w:val="00EC4F53"/>
    <w:rsid w:val="00F05F83"/>
    <w:rsid w:val="00F21A6F"/>
    <w:rsid w:val="00F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83D"/>
  <w15:chartTrackingRefBased/>
  <w15:docId w15:val="{6C24AE50-E616-4C15-B864-E9F21957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92AC5"/>
    <w:pPr>
      <w:spacing w:after="0" w:line="240" w:lineRule="auto"/>
    </w:pPr>
    <w:rPr>
      <w:rFonts w:ascii="Times New Roman" w:eastAsia="Times New Roman" w:hAnsi="Times New Roman" w:cs="Times New Roman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0A5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f77df-3679-4def-9f9b-ad85ef642e6c" xsi:nil="true"/>
    <lcf76f155ced4ddcb4097134ff3c332f xmlns="c3459a73-c26c-4726-b9d1-660846b492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181D2DE171547BE6FE733399936B1" ma:contentTypeVersion="14" ma:contentTypeDescription="Crée un document." ma:contentTypeScope="" ma:versionID="857bbc0bf1d9201a1029bac2fb2b129f">
  <xsd:schema xmlns:xsd="http://www.w3.org/2001/XMLSchema" xmlns:xs="http://www.w3.org/2001/XMLSchema" xmlns:p="http://schemas.microsoft.com/office/2006/metadata/properties" xmlns:ns2="c3459a73-c26c-4726-b9d1-660846b4925a" xmlns:ns3="870f77df-3679-4def-9f9b-ad85ef642e6c" targetNamespace="http://schemas.microsoft.com/office/2006/metadata/properties" ma:root="true" ma:fieldsID="2f7379edc097d8a2809ff242fdbeedbf" ns2:_="" ns3:_="">
    <xsd:import namespace="c3459a73-c26c-4726-b9d1-660846b4925a"/>
    <xsd:import namespace="870f77df-3679-4def-9f9b-ad85ef642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59a73-c26c-4726-b9d1-660846b49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1f2e0516-2ddb-4bf4-8d23-5ffe5677d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77df-3679-4def-9f9b-ad85ef642e6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b3119f6-6a76-404a-a85f-0ffec1dfa6f7}" ma:internalName="TaxCatchAll" ma:showField="CatchAllData" ma:web="870f77df-3679-4def-9f9b-ad85ef642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4DE6E-F0AD-43FA-8285-05E922BFDE9A}">
  <ds:schemaRefs>
    <ds:schemaRef ds:uri="http://schemas.microsoft.com/office/2006/metadata/properties"/>
    <ds:schemaRef ds:uri="http://schemas.microsoft.com/office/infopath/2007/PartnerControls"/>
    <ds:schemaRef ds:uri="870f77df-3679-4def-9f9b-ad85ef642e6c"/>
    <ds:schemaRef ds:uri="c3459a73-c26c-4726-b9d1-660846b4925a"/>
  </ds:schemaRefs>
</ds:datastoreItem>
</file>

<file path=customXml/itemProps2.xml><?xml version="1.0" encoding="utf-8"?>
<ds:datastoreItem xmlns:ds="http://schemas.openxmlformats.org/officeDocument/2006/customXml" ds:itemID="{E89E9BB4-3A2E-43A5-9C3B-2C4CD89B4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37CFF-7C86-4725-BFC6-133850E90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A74DCC-F20E-41E7-B2E6-77CB85915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59a73-c26c-4726-b9d1-660846b4925a"/>
    <ds:schemaRef ds:uri="870f77df-3679-4def-9f9b-ad85ef642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 Lemire</dc:creator>
  <cp:keywords/>
  <dc:description/>
  <cp:lastModifiedBy>Laurence St-Hilaire</cp:lastModifiedBy>
  <cp:revision>53</cp:revision>
  <dcterms:created xsi:type="dcterms:W3CDTF">2022-08-22T16:22:00Z</dcterms:created>
  <dcterms:modified xsi:type="dcterms:W3CDTF">2022-11-01T17:05:00Z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0x010100155181D2DE171547BE6FE733399936B1</vt:lpwstr>
  </property>
  <property fmtid="{D5CDD505-2E9C-101B-9397-08002B2CF9AE}" pid="3" name="MediaServiceImageTags">
    <vt:lpwstr/>
  </property>
</Properties>
</file>